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1A4" w:rsidRPr="00050349" w:rsidRDefault="006B01A4" w:rsidP="006B01A4">
      <w:pPr>
        <w:spacing w:after="0"/>
        <w:ind w:left="3402"/>
        <w:jc w:val="both"/>
        <w:rPr>
          <w:rFonts w:ascii="Arial" w:hAnsi="Arial" w:cs="Arial"/>
        </w:rPr>
      </w:pPr>
      <w:r w:rsidRPr="00050349">
        <w:rPr>
          <w:rFonts w:ascii="Arial" w:hAnsi="Arial" w:cs="Arial"/>
        </w:rPr>
        <w:t>Załącznik nr 2 do ogłoszenia o otwartym konkursie ofert na realizację zadania publicznego Województwa Łódzkiego (składanego w elektronicznym generatorze wniosków)</w:t>
      </w:r>
    </w:p>
    <w:p w:rsidR="006B01A4" w:rsidRPr="00050349" w:rsidRDefault="006B01A4" w:rsidP="006B01A4">
      <w:pPr>
        <w:widowControl w:val="0"/>
        <w:autoSpaceDE w:val="0"/>
        <w:autoSpaceDN w:val="0"/>
        <w:adjustRightInd w:val="0"/>
        <w:ind w:left="3402"/>
        <w:rPr>
          <w:rFonts w:ascii="Arial" w:hAnsi="Arial" w:cs="Arial"/>
          <w:sz w:val="24"/>
          <w:szCs w:val="24"/>
          <w:lang w:bidi="en-US"/>
        </w:rPr>
      </w:pPr>
    </w:p>
    <w:p w:rsidR="006B01A4" w:rsidRPr="00050349" w:rsidRDefault="006B01A4" w:rsidP="006B01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050349">
        <w:rPr>
          <w:rFonts w:ascii="Arial" w:hAnsi="Arial" w:cs="Arial"/>
          <w:b/>
          <w:sz w:val="24"/>
          <w:szCs w:val="24"/>
          <w:lang w:bidi="en-US"/>
        </w:rPr>
        <w:t>Wzór karty wstępnej oceny merytorycznej oferty</w:t>
      </w:r>
    </w:p>
    <w:p w:rsidR="006B01A4" w:rsidRPr="00050349" w:rsidRDefault="006B01A4" w:rsidP="006B01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6B01A4" w:rsidRPr="00050349" w:rsidTr="00A0133C">
        <w:tc>
          <w:tcPr>
            <w:tcW w:w="5637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3969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A4" w:rsidRPr="00050349" w:rsidTr="00A0133C">
        <w:tc>
          <w:tcPr>
            <w:tcW w:w="5637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A4" w:rsidRPr="00050349" w:rsidTr="00A0133C">
        <w:tc>
          <w:tcPr>
            <w:tcW w:w="5637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A4" w:rsidRPr="00050349" w:rsidTr="00A0133C">
        <w:tc>
          <w:tcPr>
            <w:tcW w:w="5637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1A4" w:rsidRPr="00050349" w:rsidTr="00A0133C">
        <w:tc>
          <w:tcPr>
            <w:tcW w:w="5637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6B01A4" w:rsidRPr="00050349" w:rsidRDefault="006B01A4" w:rsidP="00A013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1A4" w:rsidRPr="00050349" w:rsidRDefault="006B01A4" w:rsidP="006B01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6B01A4" w:rsidRPr="00050349" w:rsidRDefault="006B01A4" w:rsidP="006B01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050349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91"/>
        <w:gridCol w:w="3982"/>
        <w:gridCol w:w="2240"/>
        <w:gridCol w:w="2721"/>
      </w:tblGrid>
      <w:tr w:rsidR="006B01A4" w:rsidRPr="00050349" w:rsidTr="00A0133C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6B01A4" w:rsidRPr="00050349" w:rsidTr="00A0133C">
        <w:tc>
          <w:tcPr>
            <w:tcW w:w="69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3982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możliwości realizacji zadania publicznego przez oferenta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0-7</w:t>
            </w:r>
          </w:p>
        </w:tc>
        <w:tc>
          <w:tcPr>
            <w:tcW w:w="2721" w:type="dxa"/>
            <w:shd w:val="pct12" w:color="auto" w:fill="auto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i zaplanowane do pozyskania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w przypadku realizacji zadania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(na podstawie sekcji IV.2 oferty </w:t>
            </w:r>
            <w:bookmarkStart w:id="0" w:name="_Hlk143677090"/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„Zasoby kadrowe, rzeczowe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i finansowe oferenta, które będą wykorzystane do realizacji zadania”</w:t>
            </w:r>
            <w:bookmarkEnd w:id="0"/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(na podstawie sekcji IV.1 oferty „Informacja o wcześniejszej działalności oferenta, w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szczególności w zakresie, którego dotyczy zadanie publiczne”)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3982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kosztów realizacji zadania publicznego, </w:t>
            </w: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w tym w odniesieniu do zakresu rzeczowego zadania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72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wysokości kosztów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rPr>
          <w:trHeight w:val="694"/>
        </w:trPr>
        <w:tc>
          <w:tcPr>
            <w:tcW w:w="691" w:type="dxa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do efektów realizacji zadania 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3982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jakości wykonania zadania i kwalifikacji osób, przy udziale których realizowane będzie zadanie publiczne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272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Wskazanie istotnych kwestii problemowych województwa (opis szczegółowych potrzeb, diagnoza), które zostaną rozwiązane (złagodzone) dzięki realizacji zadania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grupy docelowej (charakterystyka odbiorców, liczba, sposób pozyskania uczestników) adekwatne w powiązaniu z celami zadania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rezultatów oraz działań jest ze sobą spójny i logiczny, wynika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opisu potrzeb wskazujących na konieczność wykonania zadania publicznego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 ofercie potrzeby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oferenta/-ów lub dobrze 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zidentyfikowane i zaplanowane do pozyskania w przypadku realizacji zadania (na podstawie sekcji IV.2 oferty 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„Zasoby kadrowe, rzeczowe i finansowe oferenta, które będą wykorzystane do realizacji zadania”</w:t>
            </w: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)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0-3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harmonogram działań jest spójny i realny oraz zawiera wszystkie etapy potrzebne do wykonania zadania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rPr>
          <w:trHeight w:val="1800"/>
        </w:trPr>
        <w:tc>
          <w:tcPr>
            <w:tcW w:w="69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3982" w:type="dxa"/>
            <w:shd w:val="pct12" w:color="auto" w:fill="auto"/>
          </w:tcPr>
          <w:p w:rsidR="006B01A4" w:rsidRPr="00050349" w:rsidRDefault="006B01A4" w:rsidP="00A0133C">
            <w:pP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środków finansowych własnych lub środków pochodzących z innych źródeł na realizację zadania publicznego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0-2</w:t>
            </w:r>
          </w:p>
        </w:tc>
        <w:tc>
          <w:tcPr>
            <w:tcW w:w="272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równy wymaganemu w ogłoszeniu o konkursie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w konkursie do 10 pkt proc. włącznie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powyżej 10 pkt proc.</w:t>
            </w:r>
            <w:r w:rsidRPr="00050349" w:rsidDel="00B325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 tym świadczeń wolontariuszy i pracy społecznej członków (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w sekcji V.B oferty „Źródła finansowania kosztów realizacji zadania”</w:t>
            </w:r>
            <w:r w:rsidRPr="00050349">
              <w:rPr>
                <w:rFonts w:ascii="Arial" w:hAnsi="Arial" w:cs="Arial"/>
                <w:sz w:val="24"/>
                <w:szCs w:val="24"/>
              </w:rPr>
              <w:t xml:space="preserve"> wniesienie wkładu </w:t>
            </w:r>
            <w:r w:rsidRPr="00050349">
              <w:rPr>
                <w:rFonts w:ascii="Arial" w:hAnsi="Arial" w:cs="Arial"/>
                <w:sz w:val="24"/>
                <w:szCs w:val="24"/>
              </w:rPr>
              <w:lastRenderedPageBreak/>
              <w:t>rzeczowego lub osobowego – dotyczy zarówno otwartych konkursów ofert na wsparcie, jak</w:t>
            </w:r>
            <w:r w:rsidRPr="00050349">
              <w:rPr>
                <w:rFonts w:ascii="Arial" w:hAnsi="Arial" w:cs="Arial"/>
                <w:sz w:val="24"/>
                <w:szCs w:val="24"/>
              </w:rPr>
              <w:br/>
              <w:t>i powierzenie realizacji zadania)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0-1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3982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rPr>
          <w:trHeight w:val="8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obszarach I-VI]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[Max 83 pkt]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VII.</w:t>
            </w:r>
          </w:p>
        </w:tc>
        <w:tc>
          <w:tcPr>
            <w:tcW w:w="3982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17 pkt</w:t>
            </w:r>
          </w:p>
        </w:tc>
        <w:tc>
          <w:tcPr>
            <w:tcW w:w="272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69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 regionu i budowania tożsamości regionalnej</w:t>
            </w:r>
          </w:p>
        </w:tc>
        <w:tc>
          <w:tcPr>
            <w:tcW w:w="2240" w:type="dxa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0-17</w:t>
            </w:r>
          </w:p>
        </w:tc>
        <w:tc>
          <w:tcPr>
            <w:tcW w:w="2721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 [punkty w obszarze VII]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17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6B01A4" w:rsidRPr="00050349" w:rsidTr="00A0133C">
        <w:tc>
          <w:tcPr>
            <w:tcW w:w="4673" w:type="dxa"/>
            <w:gridSpan w:val="2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100 pkt</w:t>
            </w:r>
          </w:p>
        </w:tc>
        <w:tc>
          <w:tcPr>
            <w:tcW w:w="2721" w:type="dxa"/>
            <w:shd w:val="pct12" w:color="auto" w:fill="auto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6B01A4" w:rsidRPr="00050349" w:rsidRDefault="006B01A4" w:rsidP="006B01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6B01A4" w:rsidRPr="008C2A64" w:rsidTr="00A0133C">
        <w:trPr>
          <w:trHeight w:val="638"/>
          <w:jc w:val="center"/>
        </w:trPr>
        <w:tc>
          <w:tcPr>
            <w:tcW w:w="4228" w:type="dxa"/>
          </w:tcPr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6B01A4" w:rsidRPr="00050349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6B01A4" w:rsidRPr="008C2A64" w:rsidRDefault="006B01A4" w:rsidP="00A01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50349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6E5660" w:rsidRDefault="006E5660">
      <w:bookmarkStart w:id="1" w:name="_GoBack"/>
      <w:bookmarkEnd w:id="1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A4"/>
    <w:rsid w:val="006B01A4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24AE7-1559-49EE-A905-F5AEB659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0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01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2025-12-30T09:18:00Z</dcterms:created>
  <dcterms:modified xsi:type="dcterms:W3CDTF">2025-12-30T09:19:00Z</dcterms:modified>
</cp:coreProperties>
</file>