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B0177F">
        <w:rPr>
          <w:rFonts w:ascii="Arial" w:hAnsi="Arial" w:cs="Arial"/>
          <w:i/>
          <w:iCs/>
          <w:sz w:val="20"/>
          <w:szCs w:val="20"/>
        </w:rPr>
        <w:t>….</w:t>
      </w:r>
      <w:bookmarkStart w:id="0" w:name="_GoBack"/>
      <w:bookmarkEnd w:id="0"/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363A2F">
        <w:rPr>
          <w:rFonts w:ascii="Arial" w:hAnsi="Arial" w:cs="Arial"/>
          <w:i/>
          <w:iCs/>
          <w:sz w:val="20"/>
          <w:szCs w:val="20"/>
        </w:rPr>
        <w:t>I</w:t>
      </w:r>
      <w:r w:rsidR="00234EE8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/Z/22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………………………2022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Default="00A06F9B" w:rsidP="00A06F9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A06F9B" w:rsidRDefault="00A06F9B" w:rsidP="00A06F9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7447" w:rsidRPr="00A06F9B" w:rsidRDefault="00FE00F6" w:rsidP="00A0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FE4A9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</w:t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(zgodnie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pozycją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 xml:space="preserve">wniosku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>o dotację</w:t>
            </w:r>
            <w:r w:rsidRPr="00FE4A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3869" w:rsidRPr="00A06F9B" w:rsidRDefault="005646D3" w:rsidP="00A06F9B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6D71" w:rsidRDefault="00B66D71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92CC6" w:rsidRDefault="005646D3" w:rsidP="00592CC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wykonawcą/-am</w:t>
      </w:r>
      <w:r w:rsidRPr="00892F3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wraz z protokołem/-ami odbioru tych prac podpisanym/-i między wykonawcą/-ami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 xml:space="preserve">Dokumentacja fotograficzna zabytku, zgodnie z § 6 umowy, </w:t>
      </w:r>
      <w:r w:rsidR="00592CC6" w:rsidRPr="00415838">
        <w:rPr>
          <w:rFonts w:ascii="Arial" w:hAnsi="Arial" w:cs="Arial"/>
          <w:sz w:val="22"/>
          <w:szCs w:val="22"/>
        </w:rPr>
        <w:t>w formie dobrej jakości odbitek fotograficznych lub wydruków oraz plików graficznych, nagranych na płytę CD/DVD lub inny nośnik danych, w formacie JPG (zalecany) lub TIFF oraz w zalecanej rozdzielczości 300 dpi. Dokumentacja powinna również zawierać zdjęcie potwierdzające umieszczenie w sposób trwały</w:t>
      </w:r>
      <w:r w:rsidR="00415838" w:rsidRPr="00415838">
        <w:rPr>
          <w:rFonts w:ascii="Arial" w:hAnsi="Arial" w:cs="Arial"/>
          <w:sz w:val="22"/>
          <w:szCs w:val="22"/>
        </w:rPr>
        <w:t xml:space="preserve"> i widoczny</w:t>
      </w:r>
      <w:r w:rsidR="00592CC6" w:rsidRPr="00415838">
        <w:rPr>
          <w:rFonts w:ascii="Arial" w:hAnsi="Arial" w:cs="Arial"/>
          <w:sz w:val="22"/>
          <w:szCs w:val="22"/>
        </w:rPr>
        <w:t xml:space="preserve">, w miejscu realizacji zadania, tablicy informacyjnej stanowiącej załącznik nr 3 do umowy (zdjęcie powinno obejmować tablicę oraz obiekt, </w:t>
      </w:r>
      <w:r w:rsidR="00415838" w:rsidRPr="00415838">
        <w:rPr>
          <w:rFonts w:ascii="Arial" w:hAnsi="Arial" w:cs="Arial"/>
          <w:sz w:val="22"/>
          <w:szCs w:val="22"/>
        </w:rPr>
        <w:t>na którym została umieszczo</w:t>
      </w:r>
      <w:r w:rsidR="007D2150">
        <w:rPr>
          <w:rFonts w:ascii="Arial" w:hAnsi="Arial" w:cs="Arial"/>
          <w:sz w:val="22"/>
          <w:szCs w:val="22"/>
        </w:rPr>
        <w:t xml:space="preserve">na). </w:t>
      </w:r>
      <w:r w:rsidR="00415838" w:rsidRPr="00415838">
        <w:rPr>
          <w:rFonts w:ascii="Arial" w:hAnsi="Arial" w:cs="Arial"/>
          <w:sz w:val="22"/>
          <w:szCs w:val="22"/>
        </w:rPr>
        <w:t>Obowiązek umieszczenia tablicy dotyczy tylko zadań obejmujących wykonanie faktycznych czynności przy zabytku polegających na pracach konserwatorskich, restauratorskich lub robotach budowlanych</w:t>
      </w:r>
      <w:r w:rsidRPr="00415838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Inne załączniki</w:t>
      </w:r>
      <w:r w:rsidRPr="00415838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58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Beneficjenta.</w:t>
      </w:r>
    </w:p>
    <w:p w:rsidR="005646D3" w:rsidRPr="00892F31" w:rsidRDefault="00F3663B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</w:t>
      </w:r>
      <w:r w:rsidR="005646D3" w:rsidRPr="00892F31">
        <w:rPr>
          <w:rFonts w:ascii="Arial" w:hAnsi="Arial" w:cs="Arial"/>
          <w:sz w:val="22"/>
          <w:szCs w:val="22"/>
        </w:rPr>
        <w:t>/my zgodę na wykorzystanie zawartych w sprawozdaniu informacji oraz dołączonej dokumentacji fotograficznej w celach promujących dziedzictwo kulturowe województwa łódzkiego.</w:t>
      </w:r>
    </w:p>
    <w:p w:rsidR="005646D3" w:rsidRPr="00892F31" w:rsidRDefault="005646D3" w:rsidP="005646D3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B66D7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FE7C9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E8600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E8600B" w:rsidRDefault="00E8600B" w:rsidP="00E8600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AC" w:rsidRDefault="002571AC" w:rsidP="005646D3">
      <w:r>
        <w:separator/>
      </w:r>
    </w:p>
  </w:endnote>
  <w:endnote w:type="continuationSeparator" w:id="0">
    <w:p w:rsidR="002571AC" w:rsidRDefault="002571AC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B0177F">
      <w:rPr>
        <w:rStyle w:val="Numerstrony"/>
        <w:rFonts w:ascii="Arial" w:hAnsi="Arial" w:cs="Arial"/>
        <w:noProof/>
        <w:sz w:val="20"/>
        <w:szCs w:val="20"/>
      </w:rPr>
      <w:t>1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A06F9B" w:rsidRPr="003F56D2" w:rsidRDefault="00A06F9B" w:rsidP="00A06F9B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2022</w:t>
    </w:r>
  </w:p>
  <w:p w:rsidR="009F1935" w:rsidRDefault="00B0177F" w:rsidP="00A06F9B">
    <w:pPr>
      <w:pStyle w:val="Stopka"/>
      <w:ind w:right="360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AC" w:rsidRDefault="002571AC" w:rsidP="005646D3">
      <w:r>
        <w:separator/>
      </w:r>
    </w:p>
  </w:footnote>
  <w:footnote w:type="continuationSeparator" w:id="0">
    <w:p w:rsidR="002571AC" w:rsidRDefault="002571AC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>nie</w:t>
      </w:r>
      <w:r w:rsidR="00A06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2F31">
        <w:rPr>
          <w:rFonts w:ascii="Arial" w:hAnsi="Arial" w:cs="Arial"/>
        </w:rPr>
        <w:t>na adres Urzędu Marszałkowskiego Województw</w:t>
      </w:r>
      <w:r w:rsidR="00A06F9B">
        <w:rPr>
          <w:rFonts w:ascii="Arial" w:hAnsi="Arial" w:cs="Arial"/>
        </w:rPr>
        <w:t>a Łódzkiego (Departament Kultury</w:t>
      </w:r>
      <w:r w:rsidRPr="00892F31">
        <w:rPr>
          <w:rFonts w:ascii="Arial" w:hAnsi="Arial" w:cs="Arial"/>
        </w:rPr>
        <w:t>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B66D71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8F1"/>
    <w:multiLevelType w:val="hybridMultilevel"/>
    <w:tmpl w:val="9E64DFA0"/>
    <w:lvl w:ilvl="0" w:tplc="7E1C7A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C4718F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8"/>
    <w:rsid w:val="00036519"/>
    <w:rsid w:val="00097DF2"/>
    <w:rsid w:val="000D2288"/>
    <w:rsid w:val="00111B26"/>
    <w:rsid w:val="001433D0"/>
    <w:rsid w:val="001859AB"/>
    <w:rsid w:val="001B3869"/>
    <w:rsid w:val="00234EE8"/>
    <w:rsid w:val="002571AC"/>
    <w:rsid w:val="002914E0"/>
    <w:rsid w:val="00341FAC"/>
    <w:rsid w:val="00363A2F"/>
    <w:rsid w:val="00415838"/>
    <w:rsid w:val="004339F9"/>
    <w:rsid w:val="004A31C1"/>
    <w:rsid w:val="004B743F"/>
    <w:rsid w:val="004C183A"/>
    <w:rsid w:val="004D44A3"/>
    <w:rsid w:val="005646D3"/>
    <w:rsid w:val="00567447"/>
    <w:rsid w:val="00577244"/>
    <w:rsid w:val="00592CC6"/>
    <w:rsid w:val="005F1FEB"/>
    <w:rsid w:val="006043C6"/>
    <w:rsid w:val="00623EFD"/>
    <w:rsid w:val="00630114"/>
    <w:rsid w:val="00651B04"/>
    <w:rsid w:val="00696103"/>
    <w:rsid w:val="006E4618"/>
    <w:rsid w:val="00771ECA"/>
    <w:rsid w:val="007B240F"/>
    <w:rsid w:val="007D2150"/>
    <w:rsid w:val="007F473C"/>
    <w:rsid w:val="00894986"/>
    <w:rsid w:val="008A2EDF"/>
    <w:rsid w:val="008C11CC"/>
    <w:rsid w:val="008F373D"/>
    <w:rsid w:val="00902B0F"/>
    <w:rsid w:val="009C1181"/>
    <w:rsid w:val="009E1AAB"/>
    <w:rsid w:val="00A06F9B"/>
    <w:rsid w:val="00A370C4"/>
    <w:rsid w:val="00A77784"/>
    <w:rsid w:val="00AB2701"/>
    <w:rsid w:val="00AB4C78"/>
    <w:rsid w:val="00AD4300"/>
    <w:rsid w:val="00AE2902"/>
    <w:rsid w:val="00AF7560"/>
    <w:rsid w:val="00B0177F"/>
    <w:rsid w:val="00B321EB"/>
    <w:rsid w:val="00B66D71"/>
    <w:rsid w:val="00B74773"/>
    <w:rsid w:val="00BC67F9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643A6"/>
    <w:rsid w:val="00E766A3"/>
    <w:rsid w:val="00E8600B"/>
    <w:rsid w:val="00EB1CF8"/>
    <w:rsid w:val="00EB29F3"/>
    <w:rsid w:val="00F3663B"/>
    <w:rsid w:val="00F62994"/>
    <w:rsid w:val="00F75DA2"/>
    <w:rsid w:val="00FD0C84"/>
    <w:rsid w:val="00FE00F6"/>
    <w:rsid w:val="00FE4A9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E97EA3"/>
  <w15:docId w15:val="{F68B6D7A-4C2A-4060-9CB7-ED98554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B64B-7690-4C7D-A262-B9C9BD69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46</cp:revision>
  <cp:lastPrinted>2022-05-25T14:07:00Z</cp:lastPrinted>
  <dcterms:created xsi:type="dcterms:W3CDTF">2019-02-12T10:48:00Z</dcterms:created>
  <dcterms:modified xsi:type="dcterms:W3CDTF">2022-10-04T12:41:00Z</dcterms:modified>
</cp:coreProperties>
</file>